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28" w:rsidRDefault="000F4C28" w:rsidP="00D46908">
      <w:pPr>
        <w:spacing w:line="360" w:lineRule="auto"/>
        <w:ind w:firstLine="709"/>
        <w:jc w:val="both"/>
      </w:pPr>
    </w:p>
    <w:p w:rsidR="000F4C28" w:rsidRDefault="000F4C28" w:rsidP="00D46908">
      <w:pPr>
        <w:spacing w:line="360" w:lineRule="auto"/>
        <w:ind w:firstLine="709"/>
        <w:jc w:val="both"/>
      </w:pPr>
    </w:p>
    <w:p w:rsidR="000F4C28" w:rsidRDefault="000F4C28" w:rsidP="00D46908">
      <w:pPr>
        <w:spacing w:line="360" w:lineRule="auto"/>
        <w:ind w:firstLine="709"/>
        <w:jc w:val="both"/>
      </w:pPr>
    </w:p>
    <w:p w:rsidR="000F4C28" w:rsidRPr="000860EC" w:rsidRDefault="000F4C28" w:rsidP="000F4C28">
      <w:pPr>
        <w:spacing w:line="360" w:lineRule="auto"/>
        <w:jc w:val="center"/>
        <w:rPr>
          <w:b/>
          <w:sz w:val="28"/>
          <w:szCs w:val="28"/>
        </w:rPr>
      </w:pPr>
      <w:r w:rsidRPr="000860EC">
        <w:rPr>
          <w:b/>
          <w:sz w:val="28"/>
          <w:szCs w:val="28"/>
        </w:rPr>
        <w:t>Societatea bizantină în timpul lui Vasile</w:t>
      </w:r>
      <w:r>
        <w:rPr>
          <w:b/>
          <w:sz w:val="28"/>
          <w:szCs w:val="28"/>
        </w:rPr>
        <w:t xml:space="preserve"> al</w:t>
      </w:r>
      <w:r w:rsidRPr="000860EC">
        <w:rPr>
          <w:b/>
          <w:sz w:val="28"/>
          <w:szCs w:val="28"/>
        </w:rPr>
        <w:t xml:space="preserve"> II</w:t>
      </w:r>
      <w:r>
        <w:rPr>
          <w:b/>
          <w:sz w:val="28"/>
          <w:szCs w:val="28"/>
        </w:rPr>
        <w:t>-lea</w:t>
      </w:r>
    </w:p>
    <w:p w:rsidR="000F4C28" w:rsidRDefault="000F4C28" w:rsidP="000F4C28">
      <w:pPr>
        <w:spacing w:line="360" w:lineRule="auto"/>
        <w:ind w:firstLine="709"/>
        <w:jc w:val="both"/>
      </w:pPr>
    </w:p>
    <w:p w:rsidR="000F4C28" w:rsidRDefault="000F4C28" w:rsidP="00D46908">
      <w:pPr>
        <w:spacing w:line="360" w:lineRule="auto"/>
        <w:ind w:firstLine="709"/>
        <w:jc w:val="both"/>
      </w:pPr>
    </w:p>
    <w:p w:rsidR="00D46908" w:rsidRDefault="00D46908" w:rsidP="00D46908">
      <w:pPr>
        <w:spacing w:line="360" w:lineRule="auto"/>
        <w:ind w:firstLine="709"/>
        <w:jc w:val="both"/>
      </w:pPr>
      <w:r>
        <w:t xml:space="preserve">După 14 ani de lupte, timp în care şi-a învins toţi rivalii şi a devenit singurul conducător al Imperiului Bizantin, Vasile al II-lea se dedică şi treburilor interne. Statul bizantin nu era în cea mai bună situaţie după atâţia ani de război civil, având şi resursele epuizate. Deşi era un general de temut, Vasile s-a dovedit şi un excelent administrator. Probabil şi din cauza că în urma atâtor comploturi devenise destul de ursuz, împăratul Vasile a preferat să guverneze singur, nemaiavând încredere în nimeni. </w:t>
      </w:r>
    </w:p>
    <w:p w:rsidR="00D46908" w:rsidRDefault="00D46908" w:rsidP="00D46908">
      <w:pPr>
        <w:spacing w:line="360" w:lineRule="auto"/>
        <w:ind w:firstLine="709"/>
        <w:jc w:val="both"/>
      </w:pPr>
      <w:r>
        <w:t>Deşi s-a înconjurat de oameni capabili din toate domeniile, a preferat să ia deciziile singur. Nu a avut nici favoriţi şi nici prim-ministru.</w:t>
      </w:r>
      <w:r>
        <w:rPr>
          <w:rStyle w:val="FootnoteReference"/>
        </w:rPr>
        <w:footnoteReference w:id="2"/>
      </w:r>
      <w:r>
        <w:t xml:space="preserve"> Se spune că, în ciuda numeroaselor şi epuizantelor războaie pe care le-a purtat de-a lungul vieţii, a lăsat o avere de 200 de mii livre aur. Această prosperitate a fost posibilă datorită măsurilor interne pe care le-a luat, în special legislaţia contra marii aristocraţii. Aceasta s-a remarcat prin radicalismul ei şi a lovit din plin pe marii nobili în care nu mai avea încredere, din cauza susţinerii în războaile civile a rivalilor săi. Aceasta va fi direcţia politicii sociale a împăratului Vasile pe toată durata domniei sale.</w:t>
      </w:r>
      <w:r>
        <w:rPr>
          <w:rStyle w:val="FootnoteReference"/>
        </w:rPr>
        <w:footnoteReference w:id="3"/>
      </w:r>
      <w:r>
        <w:t xml:space="preserve"> </w:t>
      </w:r>
    </w:p>
    <w:p w:rsidR="00D46908" w:rsidRDefault="00D46908" w:rsidP="00D46908">
      <w:pPr>
        <w:spacing w:line="360" w:lineRule="auto"/>
        <w:ind w:firstLine="709"/>
        <w:jc w:val="both"/>
      </w:pPr>
      <w:r>
        <w:t xml:space="preserve">În anul 996, după câţiva ani de conflicte şi pentru a asigura visteria goală a statului, dar şi din dorinţa de a se răzbuna pe marea aristocraţie potrivnică, împăratul a dat o lege care era împotriva demnitarilor cu influenţă. Aceştia cumpărau pământ de la ţărani la preţuri mici sau le revendicau în numele unor datorii. </w:t>
      </w:r>
    </w:p>
    <w:p w:rsidR="00D46908" w:rsidRDefault="00D46908" w:rsidP="00D46908">
      <w:pPr>
        <w:spacing w:line="360" w:lineRule="auto"/>
        <w:ind w:firstLine="709"/>
        <w:jc w:val="both"/>
      </w:pPr>
      <w:r>
        <w:t xml:space="preserve">Această novelă a lui Vasile o confirma pe cea din anul 934 dată de Roman I Lecapenos. Legea prevedea ca toţi cei care au cumpărat terenuri în mod ilegal să le restituie fără nici o despăgubire foştilor proprietari. În caz că aceştia au decedat, propritatea le revenea urmaşilor. Chiar dacă în multe cazuri legea nu s-a respectat, pământurile duşmanilor săi au fost fărâmiţate, </w:t>
      </w:r>
      <w:r>
        <w:lastRenderedPageBreak/>
        <w:t>slăbind puterea acestora. Totodată, împăratul Vasile al II-lea şi-a luat înapoi toate donaţiile făcute de fostul său parakimomen, Vasile Lecapenos.</w:t>
      </w:r>
      <w:r>
        <w:rPr>
          <w:rStyle w:val="FootnoteReference"/>
        </w:rPr>
        <w:footnoteReference w:id="4"/>
      </w:r>
    </w:p>
    <w:p w:rsidR="00D46908" w:rsidRDefault="00D46908" w:rsidP="00D46908">
      <w:pPr>
        <w:spacing w:line="360" w:lineRule="auto"/>
        <w:ind w:firstLine="709"/>
        <w:jc w:val="both"/>
      </w:pPr>
      <w:r>
        <w:t xml:space="preserve">Împăratul Vasile al II-lea a fost şi un mare protector al săracilor. Capacitatea sa de mare administrator a făcut ca, atunci când taxele impuse nu puteau fi acoperite, să ia din alte părţi, de obicei de la cei care aveau mai mult. Pământurile coroanei le-a dat în administrarea unui logofăt care era însărcinat cu toate afacerile interne. Pentru a nu fi trădat, l-a scos pe logofătul ce administra proprietăţile sale de sub răspunderea logofătului general. În acest fel, a reuşit să adune o mare parte la visteria statului. </w:t>
      </w:r>
    </w:p>
    <w:p w:rsidR="00D46908" w:rsidRDefault="00D46908" w:rsidP="00D46908">
      <w:pPr>
        <w:spacing w:line="360" w:lineRule="auto"/>
        <w:ind w:firstLine="709"/>
        <w:jc w:val="both"/>
      </w:pPr>
      <w:r>
        <w:t>Un decret favorabil săracilor prevedea că, aceştia, când nu au cu ce să plătească impozitele, costurile lor să fie suportate de cei bogaţi. În acest fel, a creat un echilibru social benefic întregii societăţi.</w:t>
      </w:r>
      <w:r>
        <w:rPr>
          <w:rStyle w:val="FootnoteReference"/>
        </w:rPr>
        <w:footnoteReference w:id="5"/>
      </w:r>
      <w:r>
        <w:t xml:space="preserve"> Chiar dacă funcţionari care se ocupau cu strângerea impozitelor nu puteau fi controlaţi, existând corupţie printre ei, legile lui Roman I şi Vasile II oferă lista demnitarilor civili care au încercat să cumpere ilegal pământ. Datorită faptului că aceşti funcţionari îşi făceau datoria în privinţa impozitelor, de fiecare dată trebuiau să acopere într-un fel sau altul suma cerută, numărul funcţionarilor din administraţie a crescut extrem de mult. Se consideră că la moartea sa, Vasile al II-lea a lăsat un număr al funcţionarilor: oficialii, soldaţii, marinarii şi ofiţerii depăşeau, împreună cu familiile lor un milion de suflete.</w:t>
      </w:r>
      <w:r>
        <w:rPr>
          <w:rStyle w:val="FootnoteReference"/>
        </w:rPr>
        <w:footnoteReference w:id="6"/>
      </w:r>
    </w:p>
    <w:p w:rsidR="00D46908" w:rsidRDefault="00D46908" w:rsidP="00D46908">
      <w:pPr>
        <w:spacing w:line="360" w:lineRule="auto"/>
        <w:ind w:firstLine="709"/>
        <w:jc w:val="both"/>
      </w:pPr>
      <w:r>
        <w:t>Anul 1022 este deosebit pentru cunoaşterea personalităţii împăratului Vasile al II-lea. După o serie de succese militare, mai ales contra bulgarilor, împăratul bizantin şi-a dat seama că toate aceste cuceriri au costat nenumărate vieţi şi nu au adus nici un beneficiu supuşilor săi. Beneficiind de rezerve în aur considerabile, Vasile a anulat pentru o perioadă de doi ani impozitele de vatră şi pe cele funciare. Totuşi, a menţinut legea prin care marii proprietari erau răspunzători pentru impozitele neplătite.</w:t>
      </w:r>
      <w:r>
        <w:rPr>
          <w:rStyle w:val="FootnoteReference"/>
        </w:rPr>
        <w:footnoteReference w:id="7"/>
      </w:r>
      <w:r>
        <w:t xml:space="preserve"> </w:t>
      </w:r>
    </w:p>
    <w:p w:rsidR="00D46908" w:rsidRDefault="00D46908" w:rsidP="00D46908">
      <w:pPr>
        <w:spacing w:line="360" w:lineRule="auto"/>
        <w:ind w:firstLine="709"/>
        <w:jc w:val="both"/>
      </w:pPr>
      <w:r>
        <w:t xml:space="preserve">Pentru a vedea dezvoltarea la care a ajuns Imperiul Bizantin în anul 1025, anul morţii împratului Vasile II, vom da un citat expresiv din acest punct de vedere: „În mod clar, Bizanţul era, în 1025, mult mai mare, mai puternic şi mai bogat decât fusese în 780. După înglobarea vestului şi nordului Greciei, celei mai mari părţi a Armeniei, nordului Siriei şi întregii Bulgarii, şi pierderea doar a Siciliei, teritoriul Imperiului era de aproape două ori mai mare decât înainte. </w:t>
      </w:r>
      <w:r>
        <w:lastRenderedPageBreak/>
        <w:t>Influenţa politică şi culturală a Bizanţului depăşea cu mult graniţele sale, ajungând la multele sale state clienterale şi la nou-convertitul principat al Rusiei. După cucerirea Bulgariei şi prăbuşirea Califatului, pentru prima dată în istorie, Bizanţul era mult mai puternic decât toţi vecinii săi. Deşi armata bizantină crescuse cam de trei ori iar soldele aproape se dublaseră, guvernul era în stare să facă uşor faţă cheltuielilor, şi aceasta fără a mări rata impozitelor. Economia era înfloritoare, iar populaţia părea la fel de mulţumită ca întotdeauna, loială atât dinastiei macedonene cât şi Bisericii Ortodoxe”.</w:t>
      </w:r>
      <w:r>
        <w:rPr>
          <w:rStyle w:val="FootnoteReference"/>
        </w:rPr>
        <w:footnoteReference w:id="8"/>
      </w:r>
    </w:p>
    <w:p w:rsidR="00D46908" w:rsidRDefault="00D46908" w:rsidP="00D46908">
      <w:pPr>
        <w:spacing w:line="360" w:lineRule="auto"/>
        <w:ind w:firstLine="709"/>
        <w:jc w:val="both"/>
      </w:pPr>
      <w:r>
        <w:t>În ceea ce priveşte averea şi statutul mănăstirilor, împăratul Vasile a decretat limitarea proprietăţii mănăstirilor în detrimentul proprietăţii ţăranilor. Aşezămintele monahale care erau situate pe pământurile sătenilor, cu un număr mic de monahi, nu erau considerate mănăstiri, ci case de rugăciune. Ele nu plăteau nici o taxă episcopului locului, fiind supuse comunităţii locale. În schimb, mănăstirile cu un număr de călugări mai mare de opt, se aflau sub jurisdicţia episcopului, care le putea achiziţiona noi fonduri şi dispunea liber de administrarea lor.</w:t>
      </w:r>
      <w:r>
        <w:rPr>
          <w:rStyle w:val="FootnoteReference"/>
        </w:rPr>
        <w:footnoteReference w:id="9"/>
      </w:r>
      <w:r>
        <w:t xml:space="preserve"> </w:t>
      </w:r>
    </w:p>
    <w:p w:rsidR="00D46908" w:rsidRDefault="00D46908" w:rsidP="00D46908">
      <w:pPr>
        <w:spacing w:line="360" w:lineRule="auto"/>
        <w:ind w:firstLine="709"/>
        <w:jc w:val="both"/>
      </w:pPr>
      <w:r>
        <w:t>Monahismul cunoaşte, în această perioadă, o organizare şi ondezvoltare cu totul deosebite. Este binecunoscută activitatea Sfântului Simeon Noul Teolog (949-1022), care a petrecut cea mai mare parte din viaţă în mănăstirile chinovitice. A lăsat o seamă de scrieri, care cuprind tratate ascetice şi teologice, corespondenţă, imne etc. În opera sa predomină teologia monastică ascetică, aşa cum era la început asceza monahală. Se pune accent pe comuniunea cu „lumina dumnezeiască”, pe misticismul personal al trăirii cu Dumnezeu.</w:t>
      </w:r>
      <w:r>
        <w:rPr>
          <w:rStyle w:val="FootnoteReference"/>
        </w:rPr>
        <w:footnoteReference w:id="10"/>
      </w:r>
    </w:p>
    <w:p w:rsidR="00D46908" w:rsidRDefault="00D46908" w:rsidP="00D46908">
      <w:pPr>
        <w:spacing w:line="360" w:lineRule="auto"/>
        <w:ind w:firstLine="709"/>
        <w:jc w:val="both"/>
      </w:pPr>
      <w:r>
        <w:t xml:space="preserve">Aşadar, epoca împăratului Vasile al II-lea a fost marcată de evenimente importante pentru Imperiul pe care-l conducea cu atâta măiestrie. Neînfricat luptător, Vasile a reuşit să recucerească toate posesiunile ce aparţinuseră în timp bizantinilor. Mai mult decât atât, el a cucerit noi teritorii pe care le-a organizat şi impozitat în concordanţă cu cerinţele Constantinopolului. </w:t>
      </w:r>
    </w:p>
    <w:p w:rsidR="00D46908" w:rsidRDefault="00D46908" w:rsidP="00D46908">
      <w:pPr>
        <w:spacing w:line="360" w:lineRule="auto"/>
        <w:ind w:firstLine="709"/>
        <w:jc w:val="both"/>
      </w:pPr>
      <w:r>
        <w:t xml:space="preserve">Pe lângă resursele financiare imense, un număr impresionant de soldaţi se alăturau armatei sale, în diversele expediţii. A reuşit să restabiliească ordinea şi a impus dominaţia bizantină în Sudul Italiei. Bazându-se, atunci când el nu putea fi prezent, pe generali de încredere, Vasile a fost cel mai mare cuceritor al timpurilor sale. </w:t>
      </w:r>
    </w:p>
    <w:p w:rsidR="00D46908" w:rsidRDefault="00D46908" w:rsidP="00D46908">
      <w:pPr>
        <w:spacing w:line="360" w:lineRule="auto"/>
        <w:ind w:firstLine="709"/>
        <w:jc w:val="both"/>
      </w:pPr>
      <w:r>
        <w:lastRenderedPageBreak/>
        <w:t>De asemenea, el nu a neglijat nici politica internă, reuşind să stopeze ascensiunea marii aristocraţii şi să ofere condiţii de trai mai bune ţăranilor săraci. Aşa cum am văzut, în timpul secetei dintre anii 1022-1024 a scutit de impozite şăranii săraci, tocmai pentru a evita ca mii de oameni să moară de foame. Este ultima mare perioadă înfloritoare a Bizanţului şi, după moartea împăratului Vasile, începe treptat decăderea. Dar, moştenirea bizantină este bogată prin spiritul ortodoxiei şi al civilizaţiei care dăinuie până astăzi.</w:t>
      </w:r>
    </w:p>
    <w:p w:rsidR="00D46908" w:rsidRDefault="00D46908" w:rsidP="00D46908">
      <w:pPr>
        <w:spacing w:line="360" w:lineRule="auto"/>
        <w:ind w:firstLine="709"/>
        <w:jc w:val="both"/>
      </w:pPr>
    </w:p>
    <w:p w:rsidR="00D46908" w:rsidRDefault="00D46908" w:rsidP="00D46908">
      <w:pPr>
        <w:spacing w:line="360" w:lineRule="auto"/>
        <w:ind w:firstLine="709"/>
        <w:jc w:val="both"/>
      </w:pPr>
    </w:p>
    <w:p w:rsidR="00D46908" w:rsidRDefault="00D46908" w:rsidP="00D46908">
      <w:pPr>
        <w:spacing w:line="360" w:lineRule="auto"/>
        <w:ind w:firstLine="709"/>
        <w:jc w:val="both"/>
      </w:pPr>
    </w:p>
    <w:p w:rsidR="00D46908" w:rsidRDefault="00D46908" w:rsidP="00D46908">
      <w:pPr>
        <w:spacing w:line="360" w:lineRule="auto"/>
        <w:jc w:val="center"/>
        <w:rPr>
          <w:b/>
          <w:sz w:val="28"/>
          <w:szCs w:val="28"/>
        </w:rPr>
      </w:pPr>
    </w:p>
    <w:p w:rsidR="00C8003E" w:rsidRDefault="00C8003E"/>
    <w:sectPr w:rsidR="00C8003E" w:rsidSect="00C8003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716" w:rsidRDefault="00C77716" w:rsidP="00D46908">
      <w:r>
        <w:separator/>
      </w:r>
    </w:p>
  </w:endnote>
  <w:endnote w:type="continuationSeparator" w:id="1">
    <w:p w:rsidR="00C77716" w:rsidRDefault="00C77716" w:rsidP="00D469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716" w:rsidRDefault="00C77716" w:rsidP="00D46908">
      <w:r>
        <w:separator/>
      </w:r>
    </w:p>
  </w:footnote>
  <w:footnote w:type="continuationSeparator" w:id="1">
    <w:p w:rsidR="00C77716" w:rsidRDefault="00C77716" w:rsidP="00D46908">
      <w:r>
        <w:continuationSeparator/>
      </w:r>
    </w:p>
  </w:footnote>
  <w:footnote w:id="2">
    <w:p w:rsidR="00D46908" w:rsidRDefault="00D46908" w:rsidP="00D46908">
      <w:pPr>
        <w:pStyle w:val="FootnoteText"/>
      </w:pPr>
      <w:r>
        <w:rPr>
          <w:rStyle w:val="FootnoteReference"/>
        </w:rPr>
        <w:footnoteRef/>
      </w:r>
      <w:r>
        <w:t xml:space="preserve"> Stelian Brezeanu, </w:t>
      </w:r>
      <w:r>
        <w:rPr>
          <w:i/>
        </w:rPr>
        <w:t>Istoria Imperiului Bizantin</w:t>
      </w:r>
      <w:r>
        <w:t>, Editura Meronia, Bucureşti, 2007, p. 186.</w:t>
      </w:r>
    </w:p>
  </w:footnote>
  <w:footnote w:id="3">
    <w:p w:rsidR="00D46908" w:rsidRDefault="00D46908" w:rsidP="00D46908">
      <w:pPr>
        <w:pStyle w:val="FootnoteText"/>
      </w:pPr>
      <w:r>
        <w:rPr>
          <w:rStyle w:val="FootnoteReference"/>
        </w:rPr>
        <w:footnoteRef/>
      </w:r>
      <w:r>
        <w:t xml:space="preserve"> </w:t>
      </w:r>
      <w:r>
        <w:rPr>
          <w:i/>
        </w:rPr>
        <w:t>Ibidem</w:t>
      </w:r>
      <w:r>
        <w:t>.</w:t>
      </w:r>
    </w:p>
  </w:footnote>
  <w:footnote w:id="4">
    <w:p w:rsidR="00D46908" w:rsidRDefault="00D46908" w:rsidP="00D46908">
      <w:pPr>
        <w:pStyle w:val="FootnoteText"/>
      </w:pPr>
      <w:r>
        <w:rPr>
          <w:rStyle w:val="FootnoteReference"/>
        </w:rPr>
        <w:footnoteRef/>
      </w:r>
      <w:r>
        <w:t xml:space="preserve"> Warren Treadgold, </w:t>
      </w:r>
      <w:r>
        <w:rPr>
          <w:i/>
        </w:rPr>
        <w:t>O scurtă istorie a Bizanţului</w:t>
      </w:r>
      <w:r>
        <w:t>, Editura Artemis, Bucureşti, 2003, pp. 172-173.</w:t>
      </w:r>
    </w:p>
  </w:footnote>
  <w:footnote w:id="5">
    <w:p w:rsidR="00D46908" w:rsidRDefault="00D46908" w:rsidP="00D46908">
      <w:pPr>
        <w:pStyle w:val="FootnoteText"/>
      </w:pPr>
      <w:r>
        <w:rPr>
          <w:rStyle w:val="FootnoteReference"/>
        </w:rPr>
        <w:footnoteRef/>
      </w:r>
      <w:r>
        <w:t xml:space="preserve"> Idem, , pp. 557-558.</w:t>
      </w:r>
      <w:r w:rsidRPr="00D46908">
        <w:rPr>
          <w:i/>
        </w:rPr>
        <w:t xml:space="preserve"> </w:t>
      </w:r>
      <w:r>
        <w:rPr>
          <w:i/>
        </w:rPr>
        <w:t>O istorie a statului şi societăţii bizantine</w:t>
      </w:r>
      <w:r>
        <w:t>, volumul I, Editura Institutului European, Iaşi, 2004, p. 463.</w:t>
      </w:r>
    </w:p>
  </w:footnote>
  <w:footnote w:id="6">
    <w:p w:rsidR="00D46908" w:rsidRDefault="00D46908" w:rsidP="00D46908">
      <w:pPr>
        <w:pStyle w:val="FootnoteText"/>
      </w:pPr>
      <w:r>
        <w:rPr>
          <w:rStyle w:val="FootnoteReference"/>
        </w:rPr>
        <w:footnoteRef/>
      </w:r>
      <w:r>
        <w:t xml:space="preserve"> </w:t>
      </w:r>
      <w:r>
        <w:rPr>
          <w:i/>
        </w:rPr>
        <w:t>Ibidem</w:t>
      </w:r>
      <w:r>
        <w:t>, pp. 558-559.</w:t>
      </w:r>
    </w:p>
  </w:footnote>
  <w:footnote w:id="7">
    <w:p w:rsidR="00D46908" w:rsidRDefault="00D46908" w:rsidP="00D46908">
      <w:pPr>
        <w:pStyle w:val="FootnoteText"/>
      </w:pPr>
      <w:r>
        <w:rPr>
          <w:rStyle w:val="FootnoteReference"/>
        </w:rPr>
        <w:footnoteRef/>
      </w:r>
      <w:r>
        <w:t xml:space="preserve"> Warren Treadgold, </w:t>
      </w:r>
      <w:r>
        <w:rPr>
          <w:i/>
        </w:rPr>
        <w:t>O scurtă istorie a Bizanţului</w:t>
      </w:r>
      <w:r>
        <w:t>..., p. 175.</w:t>
      </w:r>
    </w:p>
  </w:footnote>
  <w:footnote w:id="8">
    <w:p w:rsidR="00D46908" w:rsidRDefault="00D46908" w:rsidP="00D46908">
      <w:pPr>
        <w:pStyle w:val="FootnoteText"/>
      </w:pPr>
      <w:r>
        <w:rPr>
          <w:rStyle w:val="FootnoteReference"/>
        </w:rPr>
        <w:footnoteRef/>
      </w:r>
      <w:r>
        <w:t xml:space="preserve"> </w:t>
      </w:r>
      <w:r>
        <w:rPr>
          <w:i/>
        </w:rPr>
        <w:t>Ibidem</w:t>
      </w:r>
      <w:r>
        <w:t>, p. 176.</w:t>
      </w:r>
    </w:p>
  </w:footnote>
  <w:footnote w:id="9">
    <w:p w:rsidR="00D46908" w:rsidRDefault="00D46908" w:rsidP="00D46908">
      <w:pPr>
        <w:pStyle w:val="FootnoteText"/>
      </w:pPr>
      <w:r>
        <w:rPr>
          <w:rStyle w:val="FootnoteReference"/>
        </w:rPr>
        <w:footnoteRef/>
      </w:r>
      <w:r>
        <w:t xml:space="preserve"> Maria Georgescu,</w:t>
      </w:r>
      <w:r w:rsidRPr="00D46908">
        <w:rPr>
          <w:i/>
        </w:rPr>
        <w:t xml:space="preserve"> </w:t>
      </w:r>
      <w:r>
        <w:rPr>
          <w:i/>
        </w:rPr>
        <w:t>Incursiune în cultura şi arta bizantină</w:t>
      </w:r>
      <w:r>
        <w:t>, Editura Cetatea de Scaun, Târgovişte, 2004,pp. 217-218.</w:t>
      </w:r>
    </w:p>
  </w:footnote>
  <w:footnote w:id="10">
    <w:p w:rsidR="00D46908" w:rsidRDefault="00D46908" w:rsidP="00D46908">
      <w:pPr>
        <w:pStyle w:val="FootnoteText"/>
      </w:pPr>
      <w:r>
        <w:rPr>
          <w:rStyle w:val="FootnoteReference"/>
        </w:rPr>
        <w:footnoteRef/>
      </w:r>
      <w:r>
        <w:t xml:space="preserve"> Pr. prof. Emanoil Băbuş,</w:t>
      </w:r>
      <w:r w:rsidRPr="00D46908">
        <w:t xml:space="preserve"> </w:t>
      </w:r>
      <w:r>
        <w:t xml:space="preserve">, </w:t>
      </w:r>
      <w:r>
        <w:rPr>
          <w:i/>
        </w:rPr>
        <w:t>Bizanţul – istorie şi spiritualitate</w:t>
      </w:r>
      <w:r>
        <w:t>, Editura Sophia, Bucureşti, 2010 , p. 322.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08" w:rsidRDefault="00D46908" w:rsidP="00D46908">
    <w:pPr>
      <w:spacing w:line="360" w:lineRule="auto"/>
      <w:ind w:firstLine="709"/>
      <w:jc w:val="both"/>
    </w:pPr>
  </w:p>
  <w:p w:rsidR="00D46908" w:rsidRDefault="00D469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6908"/>
    <w:rsid w:val="000F4C28"/>
    <w:rsid w:val="00C77716"/>
    <w:rsid w:val="00C8003E"/>
    <w:rsid w:val="00D46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08"/>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46908"/>
    <w:rPr>
      <w:sz w:val="20"/>
      <w:szCs w:val="20"/>
    </w:rPr>
  </w:style>
  <w:style w:type="character" w:customStyle="1" w:styleId="FootnoteTextChar">
    <w:name w:val="Footnote Text Char"/>
    <w:basedOn w:val="DefaultParagraphFont"/>
    <w:link w:val="FootnoteText"/>
    <w:semiHidden/>
    <w:rsid w:val="00D46908"/>
    <w:rPr>
      <w:rFonts w:ascii="Times New Roman" w:eastAsia="Times New Roman" w:hAnsi="Times New Roman" w:cs="Times New Roman"/>
      <w:sz w:val="20"/>
      <w:szCs w:val="20"/>
      <w:lang w:val="ro-RO" w:eastAsia="ro-RO"/>
    </w:rPr>
  </w:style>
  <w:style w:type="character" w:styleId="FootnoteReference">
    <w:name w:val="footnote reference"/>
    <w:basedOn w:val="DefaultParagraphFont"/>
    <w:semiHidden/>
    <w:unhideWhenUsed/>
    <w:rsid w:val="00D46908"/>
    <w:rPr>
      <w:vertAlign w:val="superscript"/>
    </w:rPr>
  </w:style>
  <w:style w:type="paragraph" w:styleId="Header">
    <w:name w:val="header"/>
    <w:basedOn w:val="Normal"/>
    <w:link w:val="HeaderChar"/>
    <w:uiPriority w:val="99"/>
    <w:semiHidden/>
    <w:unhideWhenUsed/>
    <w:rsid w:val="00D46908"/>
    <w:pPr>
      <w:tabs>
        <w:tab w:val="center" w:pos="4680"/>
        <w:tab w:val="right" w:pos="9360"/>
      </w:tabs>
    </w:pPr>
  </w:style>
  <w:style w:type="character" w:customStyle="1" w:styleId="HeaderChar">
    <w:name w:val="Header Char"/>
    <w:basedOn w:val="DefaultParagraphFont"/>
    <w:link w:val="Header"/>
    <w:uiPriority w:val="99"/>
    <w:semiHidden/>
    <w:rsid w:val="00D46908"/>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D46908"/>
    <w:pPr>
      <w:tabs>
        <w:tab w:val="center" w:pos="4680"/>
        <w:tab w:val="right" w:pos="9360"/>
      </w:tabs>
    </w:pPr>
  </w:style>
  <w:style w:type="character" w:customStyle="1" w:styleId="FooterChar">
    <w:name w:val="Footer Char"/>
    <w:basedOn w:val="DefaultParagraphFont"/>
    <w:link w:val="Footer"/>
    <w:uiPriority w:val="99"/>
    <w:semiHidden/>
    <w:rsid w:val="00D46908"/>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135491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2020-12-17T10:05:00Z</dcterms:created>
  <dcterms:modified xsi:type="dcterms:W3CDTF">2020-12-17T10:14:00Z</dcterms:modified>
</cp:coreProperties>
</file>